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E" w:rsidRDefault="005A49A0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607968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5A49A0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4990/ULN/2019-ULNM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5A49A0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UZSVM/ULN/4148/2019-ULNM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574CAF" w:rsidRDefault="005A49A0" w:rsidP="00574CA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- Úřad pro zastupování státu ve věcech majetkových</w:t>
      </w:r>
    </w:p>
    <w:p w:rsidR="00574CAF" w:rsidRDefault="005A49A0" w:rsidP="00574C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Rašínovo nábřeží 390/42, Nové Město, </w:t>
      </w:r>
      <w:r>
        <w:rPr>
          <w:rFonts w:ascii="Arial" w:hAnsi="Arial" w:cs="Arial"/>
          <w:sz w:val="22"/>
          <w:szCs w:val="22"/>
        </w:rPr>
        <w:t>128 00 Praha 2,</w:t>
      </w:r>
    </w:p>
    <w:p w:rsidR="00574CAF" w:rsidRDefault="005A49A0" w:rsidP="00574C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Ing. Miloš Tajtl, ředitel odboru Odloučené pracoviště Louny, na základě Příkazu generálního ředitele č. 6/2014 v platném znění,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IČO: 69797111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„prodávající“),</w:t>
      </w:r>
    </w:p>
    <w:p w:rsidR="00574CAF" w:rsidRDefault="005A49A0" w:rsidP="00574CA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Varianta - fyzická osoba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XY 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datum narození ...</w:t>
      </w:r>
      <w:r>
        <w:rPr>
          <w:rFonts w:ascii="Arial" w:hAnsi="Arial" w:cs="Arial"/>
        </w:rPr>
        <w:t xml:space="preserve"> ,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trvalý pobyt ...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„kupující“),</w:t>
      </w:r>
    </w:p>
    <w:p w:rsidR="00574CAF" w:rsidRDefault="00574CAF" w:rsidP="00574CAF">
      <w:pPr>
        <w:pStyle w:val="Bezmezer"/>
        <w:rPr>
          <w:rFonts w:ascii="Arial" w:hAnsi="Arial" w:cs="Arial"/>
        </w:rPr>
      </w:pP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Varianta - manželé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Manželé</w:t>
      </w:r>
    </w:p>
    <w:p w:rsidR="00574CAF" w:rsidRDefault="005A49A0" w:rsidP="00574CAF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XY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datum narození ... ,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trvalý pobyt ... ,</w:t>
      </w:r>
    </w:p>
    <w:p w:rsidR="00574CAF" w:rsidRDefault="005A49A0" w:rsidP="00574CAF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ZY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datum narození ... ,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trvalý pobyt ...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„kupující“),</w:t>
      </w:r>
    </w:p>
    <w:p w:rsidR="00574CAF" w:rsidRDefault="00574CAF" w:rsidP="00574CAF">
      <w:pPr>
        <w:pStyle w:val="Bezmezer"/>
        <w:rPr>
          <w:rFonts w:ascii="Arial" w:hAnsi="Arial" w:cs="Arial"/>
        </w:rPr>
      </w:pP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Varianta - právnická osoba</w:t>
      </w:r>
    </w:p>
    <w:p w:rsidR="00574CAF" w:rsidRDefault="005A49A0" w:rsidP="00574CAF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se sídlem ... ,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kterou zastupuje ..., 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IČO ... </w:t>
      </w:r>
      <w:r>
        <w:rPr>
          <w:rFonts w:ascii="Arial" w:hAnsi="Arial" w:cs="Arial"/>
        </w:rPr>
        <w:t>, DIČ ... ,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zapsána v obchodním rejstříku vedeném Krajským soudem v Ústí n. L., sp. zn. ... , vl. ...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„kupující“),</w:t>
      </w:r>
    </w:p>
    <w:p w:rsidR="00574CAF" w:rsidRDefault="00574CAF" w:rsidP="00574CAF">
      <w:pPr>
        <w:pStyle w:val="Bezmezer"/>
        <w:rPr>
          <w:rFonts w:ascii="Arial" w:hAnsi="Arial" w:cs="Arial"/>
        </w:rPr>
      </w:pP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Varianta - územní samosprávný celek</w:t>
      </w:r>
    </w:p>
    <w:p w:rsidR="00574CAF" w:rsidRDefault="005A49A0" w:rsidP="00574CAF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CD 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se sídlem ... ,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kterou zastupuje ... ,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IČO ... , DIČ ...</w:t>
      </w:r>
    </w:p>
    <w:p w:rsidR="00574CAF" w:rsidRDefault="005A49A0" w:rsidP="00574C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„kupující“),</w:t>
      </w:r>
    </w:p>
    <w:p w:rsidR="00574CAF" w:rsidRDefault="00574CAF" w:rsidP="00574CAF">
      <w:pPr>
        <w:pStyle w:val="Bezmezer"/>
        <w:rPr>
          <w:rFonts w:ascii="Arial" w:hAnsi="Arial" w:cs="Arial"/>
        </w:rPr>
      </w:pPr>
    </w:p>
    <w:p w:rsidR="00574CAF" w:rsidRDefault="005A49A0" w:rsidP="00574CA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</w:t>
      </w:r>
      <w:r>
        <w:rPr>
          <w:rFonts w:ascii="Arial" w:hAnsi="Arial" w:cs="Arial"/>
          <w:sz w:val="22"/>
          <w:szCs w:val="22"/>
        </w:rPr>
        <w:t xml:space="preserve"> podle § 2079 a násl. zákona č. 89/2012 Sb., občanský zákoník, ve znění pozdějších předpisů (dále jen „zákon č. 89/2012 Sb.“), a podle zákona č. 219/2000 Sb., o majetku České republiky a jejím vystupování v právních vztazích, ve znění pozdějších předpisů (</w:t>
      </w:r>
      <w:r>
        <w:rPr>
          <w:rFonts w:ascii="Arial" w:hAnsi="Arial" w:cs="Arial"/>
          <w:sz w:val="22"/>
          <w:szCs w:val="22"/>
        </w:rPr>
        <w:t>dále jen „zákon č. 219/2000 Sb.“), tuto</w:t>
      </w:r>
    </w:p>
    <w:p w:rsidR="00574CAF" w:rsidRDefault="005A49A0" w:rsidP="00574CAF">
      <w:pPr>
        <w:spacing w:after="240"/>
        <w:jc w:val="center"/>
        <w:rPr>
          <w:rFonts w:ascii="Arial" w:hAnsi="Arial" w:cs="Arial"/>
          <w:b/>
          <w:spacing w:val="60"/>
          <w:sz w:val="28"/>
          <w:szCs w:val="28"/>
        </w:rPr>
      </w:pPr>
      <w:r>
        <w:rPr>
          <w:rFonts w:ascii="Arial" w:hAnsi="Arial" w:cs="Arial"/>
          <w:b/>
          <w:spacing w:val="60"/>
          <w:sz w:val="28"/>
          <w:szCs w:val="28"/>
        </w:rPr>
        <w:t>KUPNÍ SMLOUVU</w:t>
      </w:r>
    </w:p>
    <w:p w:rsidR="00574CAF" w:rsidRDefault="005A49A0" w:rsidP="00574CAF">
      <w:pPr>
        <w:spacing w:after="240"/>
        <w:jc w:val="center"/>
        <w:rPr>
          <w:rFonts w:ascii="Arial" w:hAnsi="Arial" w:cs="Arial"/>
          <w:b/>
          <w:spacing w:val="60"/>
          <w:sz w:val="28"/>
          <w:szCs w:val="28"/>
        </w:rPr>
      </w:pPr>
      <w:r>
        <w:rPr>
          <w:rFonts w:ascii="Arial" w:hAnsi="Arial" w:cs="Arial"/>
          <w:b/>
          <w:spacing w:val="60"/>
          <w:sz w:val="28"/>
          <w:szCs w:val="28"/>
        </w:rPr>
        <w:t>č. ...</w:t>
      </w:r>
    </w:p>
    <w:p w:rsidR="00574CAF" w:rsidRDefault="005A49A0" w:rsidP="00574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I.</w:t>
      </w:r>
    </w:p>
    <w:p w:rsidR="00574CAF" w:rsidRDefault="005A49A0" w:rsidP="00574C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Česká republika je vlastníkem níže uvedené nemovité věci:</w:t>
      </w:r>
    </w:p>
    <w:p w:rsidR="00574CAF" w:rsidRDefault="005A49A0" w:rsidP="00574CAF">
      <w:pPr>
        <w:pStyle w:val="para"/>
        <w:tabs>
          <w:tab w:val="clear" w:pos="709"/>
          <w:tab w:val="center" w:pos="4536"/>
          <w:tab w:val="left" w:pos="5222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Pozemek:</w:t>
      </w:r>
    </w:p>
    <w:p w:rsidR="00574CAF" w:rsidRDefault="005A49A0" w:rsidP="00574CAF">
      <w:pPr>
        <w:pStyle w:val="para"/>
        <w:tabs>
          <w:tab w:val="center" w:pos="4536"/>
          <w:tab w:val="left" w:pos="5222"/>
        </w:tabs>
        <w:ind w:left="360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•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ab/>
        <w:t>pozemková parcela číslo: 8/2, druh pozemku: ostatní plocha, způsob využití: ostatní komunikace</w:t>
      </w:r>
    </w:p>
    <w:p w:rsidR="00574CAF" w:rsidRDefault="00574CAF" w:rsidP="00574CAF">
      <w:pPr>
        <w:pStyle w:val="para"/>
        <w:tabs>
          <w:tab w:val="center" w:pos="4536"/>
          <w:tab w:val="left" w:pos="5222"/>
        </w:tabs>
        <w:ind w:left="360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574CAF" w:rsidRDefault="005A49A0" w:rsidP="00574CAF">
      <w:pPr>
        <w:pStyle w:val="Bezmezer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zapsaný na listu </w:t>
      </w:r>
      <w:r>
        <w:rPr>
          <w:rFonts w:ascii="Arial" w:hAnsi="Arial" w:cs="Arial"/>
        </w:rPr>
        <w:t>vlastnictví č. 60000, pro katastrální území Lipenec, obec Lipno, v katastru nemovitostí vedeném Katastrálním úřadem při Ústecký kraj, Katastrálním pracovištěm Žatec.</w:t>
      </w:r>
    </w:p>
    <w:p w:rsidR="00574CAF" w:rsidRDefault="005A49A0" w:rsidP="00574CAF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(dále jen „převáděný majetek“).</w:t>
      </w:r>
    </w:p>
    <w:p w:rsidR="00574CAF" w:rsidRDefault="005A49A0" w:rsidP="00574CAF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4CAF" w:rsidRDefault="005A49A0" w:rsidP="00574CA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Úřad pro zastupování státu ve věcech majetkových je</w:t>
      </w:r>
      <w: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základě ohlášení č.j. UZSVM/ULN/4101/2013-ULNM ze dne 17.12.2013 dle § 15 ZMS, ve smyslu § 9 zákona č. 219/2000 Sb., o majetku České republiky a jejím vystupování v právních vztazích, ve znění pozdějších předpisů příslušný s předmětným majetkem hospodařit.</w:t>
      </w:r>
      <w:r>
        <w:t xml:space="preserve"> </w:t>
      </w:r>
    </w:p>
    <w:p w:rsidR="00574CAF" w:rsidRDefault="00574CAF" w:rsidP="00574CAF">
      <w:pPr>
        <w:pStyle w:val="Odstavecseseznamem"/>
        <w:ind w:left="360"/>
        <w:rPr>
          <w:rFonts w:ascii="Arial" w:hAnsi="Arial" w:cs="Arial"/>
        </w:rPr>
      </w:pPr>
    </w:p>
    <w:p w:rsidR="00574CAF" w:rsidRDefault="005A49A0" w:rsidP="00574CAF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kupní smlouva je uzavírána na základě výsledků výběrového řízení, které vyhlásil prodávající.</w:t>
      </w:r>
    </w:p>
    <w:p w:rsidR="00574CAF" w:rsidRDefault="005A49A0" w:rsidP="00574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II.</w:t>
      </w:r>
    </w:p>
    <w:p w:rsidR="00574CAF" w:rsidRDefault="005A49A0" w:rsidP="00574CA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převádí touto smlouvou kupujícímu vlastnické právo k převáděnému majetku se všemi právy a povinnostmi, a to za kupní cenu stanovenou v</w:t>
      </w:r>
      <w:r>
        <w:rPr>
          <w:rFonts w:ascii="Arial" w:hAnsi="Arial" w:cs="Arial"/>
        </w:rPr>
        <w:t> Čl. II. odst. 2 této smlouvy. Kupující toto právo za kupní cenu uvedenou v Čl. II. odst. 2 této smlouvy přijímá.</w:t>
      </w:r>
    </w:p>
    <w:p w:rsidR="00574CAF" w:rsidRDefault="005A49A0" w:rsidP="00574CAF">
      <w:pPr>
        <w:pStyle w:val="Odstavecseseznamem"/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70C0"/>
        </w:rPr>
        <w:t>Varianta odst. 1 – jde-li o nabytí do společného jmění manželů: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Prodávající převádí touto smlouvou kupujícím vlastnické právo k převáděnému ma</w:t>
      </w:r>
      <w:r>
        <w:rPr>
          <w:rFonts w:ascii="Arial" w:hAnsi="Arial" w:cs="Arial"/>
        </w:rPr>
        <w:t>jetku se všemi právy a povinnostmi, a to za kupní cenu, stanovenou v Čl. II. odst. 2 této smlouvy. Kupující toto právo za kupní cenu uvedenou v Čl. II. odst. 2 této smlouvy přijímají do společného jmění manželů.</w:t>
      </w:r>
    </w:p>
    <w:p w:rsidR="00574CAF" w:rsidRDefault="005A49A0" w:rsidP="00574CAF">
      <w:pPr>
        <w:pStyle w:val="Odstavecseseznamem"/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70C0"/>
        </w:rPr>
        <w:t>Varianta odst. 1 – jde-li o nabytí do podílo</w:t>
      </w:r>
      <w:r>
        <w:rPr>
          <w:rFonts w:ascii="Arial" w:hAnsi="Arial" w:cs="Arial"/>
          <w:i/>
          <w:color w:val="0070C0"/>
        </w:rPr>
        <w:t>vého spoluvlastnictví: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Prodávající převádí touto smlouvou kupujícím vlastnické právo k převáděnému majetku se všemi právy a povinnostmi, a to za kupní cenu stanovenou v Čl. II. odst. 2 této smlouvy. Kupující toto právo za kupní cenu uvedenou v Čl. II. odst</w:t>
      </w:r>
      <w:r>
        <w:rPr>
          <w:rFonts w:ascii="Arial" w:hAnsi="Arial" w:cs="Arial"/>
        </w:rPr>
        <w:t>. 2 této smlouvy přijímají do podílového spoluvlastnictví, a to např. XY podíl ve výši ... vzhledem k celku a YZ podíl ve výši ... vzhledem k celku.</w:t>
      </w:r>
    </w:p>
    <w:p w:rsidR="00574CAF" w:rsidRDefault="005A49A0" w:rsidP="00574CAF">
      <w:pPr>
        <w:pStyle w:val="Odstavecseseznamem"/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Kupní cena za převáděný majetek ve smyslu odst. 1 tohoto článku činí ... Kč (slovy: ...korun českých).</w:t>
      </w:r>
    </w:p>
    <w:p w:rsidR="00574CAF" w:rsidRDefault="005A49A0" w:rsidP="00574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III.</w:t>
      </w:r>
    </w:p>
    <w:p w:rsidR="00574CAF" w:rsidRDefault="005A49A0" w:rsidP="00574CA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je povinen zaplatit kupní cenu dle Čl. II. odst. 2 na účet prodávajícího č. 19- 8124411/0710, variabilní symbol ... , a to</w:t>
      </w:r>
      <w:r>
        <w:rPr>
          <w:rFonts w:ascii="Arial" w:hAnsi="Arial" w:cs="Arial"/>
        </w:rPr>
        <w:t xml:space="preserve"> ve lhůtě, která bude kupujícímu oznámena ve výzvě prodávajícího k zaplacení, přičemž tato lhůta nebude kratší než 30 dnů ode dne odeslání výzvy k úhradě. U nabytí do spoluvlastnictví dále: Prodávající není povinen přijmout část plnění kupní ceny, byť by j</w:t>
      </w:r>
      <w:r>
        <w:rPr>
          <w:rFonts w:ascii="Arial" w:hAnsi="Arial" w:cs="Arial"/>
        </w:rPr>
        <w:t xml:space="preserve">í byl uhrazen jeden z prodávaných ideálních spoluvlastnických podílů. </w:t>
      </w:r>
    </w:p>
    <w:p w:rsidR="00574CAF" w:rsidRDefault="00574CAF" w:rsidP="00574CAF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:rsidR="00574CAF" w:rsidRDefault="005A49A0" w:rsidP="00574CAF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Neuhradí-li kupující celou kupní cenu ve lhůtě, stanovené touto smlouvou, je kupující povinen zaplatit smluvní pokutu ve výši 0,1 % z celkové kupní ceny za každý den prodlení.</w:t>
      </w:r>
    </w:p>
    <w:p w:rsidR="00574CAF" w:rsidRDefault="005A49A0" w:rsidP="00574CAF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prodlení s úhradou kupní ceny je kupující povinen zaplatit kromě smluvní pokuty dle předchozího odstavce i úroky z prodlení dle platné právní úpravy.</w:t>
      </w:r>
    </w:p>
    <w:p w:rsidR="00574CAF" w:rsidRDefault="005A49A0" w:rsidP="00574CAF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kupující v prohlášeních podle Čl. V. uvede nepravdivé skutečnosti o svých dluzích vůči pro</w:t>
      </w:r>
      <w:r>
        <w:rPr>
          <w:rFonts w:ascii="Arial" w:hAnsi="Arial" w:cs="Arial"/>
        </w:rPr>
        <w:t>dávajícímu a své způsobilosti nabýt převáděný majetek, má prodávající právo požadovat na kupujícím úhradu smluvní pokuty ve výši 10 % z kupní ceny.</w:t>
      </w:r>
    </w:p>
    <w:p w:rsidR="00574CAF" w:rsidRDefault="005A49A0" w:rsidP="00574CAF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Pokuty podle odst. 2 nebo 4 jsou splatné na účet prodávajícího č. 19</w:t>
      </w:r>
      <w:r>
        <w:rPr>
          <w:rFonts w:ascii="Arial" w:hAnsi="Arial" w:cs="Arial"/>
        </w:rPr>
        <w:noBreakHyphen/>
        <w:t>8124411/0710 ve lhůtě, která bude kupuj</w:t>
      </w:r>
      <w:r>
        <w:rPr>
          <w:rFonts w:ascii="Arial" w:hAnsi="Arial" w:cs="Arial"/>
        </w:rPr>
        <w:t>ícímu oznámena ve výzvě prodávajícího k zaplacení, přičemž tato lhůta nebude kratší než 30 dnů ode dne odeslání výzvy k úhradě.</w:t>
      </w:r>
    </w:p>
    <w:p w:rsidR="00574CAF" w:rsidRDefault="005A49A0" w:rsidP="00574CAF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účely této smlouvy se kupní cena, smluvní pokuta, úroky z prodlení a případné jiné platby, považují za zaplacené okamžikem p</w:t>
      </w:r>
      <w:r>
        <w:rPr>
          <w:rFonts w:ascii="Arial" w:hAnsi="Arial" w:cs="Arial"/>
        </w:rPr>
        <w:t>řipsání celé hrazené částky na účet prodávajícího.</w:t>
      </w:r>
    </w:p>
    <w:p w:rsidR="00574CAF" w:rsidRDefault="005A49A0" w:rsidP="00574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IV.</w:t>
      </w:r>
    </w:p>
    <w:p w:rsidR="00574CAF" w:rsidRDefault="005A49A0" w:rsidP="00574CAF">
      <w:pPr>
        <w:pStyle w:val="Odstavecseseznamem"/>
        <w:numPr>
          <w:ilvl w:val="0"/>
          <w:numId w:val="4"/>
        </w:numPr>
        <w:spacing w:after="0"/>
        <w:ind w:left="426" w:hanging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Prodávající prohlašuje, že se v zájmovém území nachází zařízení provozovaná spol. Severočeské vodovody a kanalizace a jejich ochranná pásma. Konkrétně se jedná o: Vodovodní řad DN &lt; 500. </w:t>
      </w:r>
    </w:p>
    <w:p w:rsidR="00574CAF" w:rsidRDefault="005A49A0" w:rsidP="00574CAF">
      <w:pPr>
        <w:pStyle w:val="para"/>
        <w:numPr>
          <w:ilvl w:val="0"/>
          <w:numId w:val="4"/>
        </w:numPr>
        <w:tabs>
          <w:tab w:val="clear" w:pos="709"/>
          <w:tab w:val="left" w:pos="426"/>
          <w:tab w:val="center" w:pos="4536"/>
          <w:tab w:val="left" w:pos="5222"/>
        </w:tabs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Prodávají</w:t>
      </w:r>
      <w:r>
        <w:rPr>
          <w:rFonts w:ascii="Arial" w:hAnsi="Arial" w:cs="Arial"/>
          <w:b w:val="0"/>
          <w:sz w:val="22"/>
          <w:szCs w:val="22"/>
        </w:rPr>
        <w:t>cí prohlašuje, že se v zájmovém území nachází nebo ochranným pásmem zasahuje energetické zařízení typu: nadzemní síť VN. O jiných omezeních, závazcích či vadách mu není nic známo.</w:t>
      </w:r>
    </w:p>
    <w:p w:rsidR="00574CAF" w:rsidRDefault="00574CAF" w:rsidP="00574CAF">
      <w:pPr>
        <w:pStyle w:val="para"/>
        <w:tabs>
          <w:tab w:val="clear" w:pos="709"/>
          <w:tab w:val="left" w:pos="426"/>
          <w:tab w:val="center" w:pos="4536"/>
          <w:tab w:val="left" w:pos="5222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74CAF" w:rsidRDefault="005A49A0" w:rsidP="00574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V.</w:t>
      </w:r>
    </w:p>
    <w:p w:rsidR="00574CAF" w:rsidRDefault="005A49A0" w:rsidP="00574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Kupující prohlašuje, že je mu současný stav převáděného majetku dobř</w:t>
      </w:r>
      <w:r>
        <w:rPr>
          <w:rFonts w:ascii="Arial" w:hAnsi="Arial" w:cs="Arial"/>
        </w:rPr>
        <w:t>e znám. Kupující rovněž prohlašuje, že je schopen dodržet své závazky vyplývající z této smlouvy, zejména zaplatit včas a řádně kupní cenu, a že vůči prodávajícímu nemá žádný dluh, jehož plnění je vynutitelné na základě vykonatelného exekučního titulu podl</w:t>
      </w:r>
      <w:r>
        <w:rPr>
          <w:rFonts w:ascii="Arial" w:hAnsi="Arial" w:cs="Arial"/>
        </w:rPr>
        <w:t>e § 40 zákona č. 120/2001 Sb., o soudních exekutorech a exekuční činnosti (exekuční řád) a o změně dalších zákonů, ve znění pozdějších předpisů.</w:t>
      </w:r>
    </w:p>
    <w:p w:rsidR="00574CAF" w:rsidRDefault="005A49A0" w:rsidP="00574CAF">
      <w:pPr>
        <w:pStyle w:val="Odstavecseseznamem"/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70C0"/>
        </w:rPr>
        <w:t>Nabývá-li se majetek do spoluvlastnictví nebo společného jmění manželů:</w:t>
      </w:r>
      <w:r>
        <w:rPr>
          <w:rFonts w:ascii="Arial" w:hAnsi="Arial" w:cs="Arial"/>
        </w:rPr>
        <w:t xml:space="preserve"> Kupující jsou ke všem povinnostem plynoucím z této smlouvy zavázáni společně a nerozdílně.</w:t>
      </w:r>
    </w:p>
    <w:p w:rsidR="00574CAF" w:rsidRDefault="005A49A0" w:rsidP="00574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VI.</w:t>
      </w:r>
    </w:p>
    <w:p w:rsidR="00574CAF" w:rsidRDefault="005A49A0" w:rsidP="00574C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povinen bezodkladně písemně oznámit prodávajícímu veškeré skutečnosti, které mají nebo by mohly mít vliv na převod vlastnického práva k převáděn</w:t>
      </w:r>
      <w:r>
        <w:rPr>
          <w:rFonts w:ascii="Arial" w:hAnsi="Arial" w:cs="Arial"/>
          <w:sz w:val="22"/>
          <w:szCs w:val="22"/>
        </w:rPr>
        <w:t>ému majetku podle této smlouvy, zejména pak skutečnosti, které se dotýkají povinnosti zaplacení kupní ceny. Tato povinnost kupujícího trvá až do okamžiku zaplacení kupní ceny s příslušenstvím.</w:t>
      </w:r>
    </w:p>
    <w:p w:rsidR="00574CAF" w:rsidRDefault="00574CAF" w:rsidP="00574CAF">
      <w:pPr>
        <w:jc w:val="both"/>
        <w:rPr>
          <w:rFonts w:ascii="Arial" w:hAnsi="Arial" w:cs="Arial"/>
          <w:sz w:val="22"/>
          <w:szCs w:val="22"/>
        </w:rPr>
      </w:pPr>
    </w:p>
    <w:p w:rsidR="00574CAF" w:rsidRDefault="005A49A0" w:rsidP="00574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VII.</w:t>
      </w:r>
    </w:p>
    <w:p w:rsidR="00574CAF" w:rsidRDefault="005A49A0" w:rsidP="00574C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Kupující je oprávněn odstoupit od této kupní smlouvy </w:t>
      </w:r>
      <w:r>
        <w:rPr>
          <w:rFonts w:ascii="Arial" w:hAnsi="Arial" w:cs="Arial"/>
        </w:rPr>
        <w:t>pouze v souladu s ustanovením § 2001 a násl. zákona č. 89/2012 Sb.</w:t>
      </w:r>
    </w:p>
    <w:p w:rsidR="00574CAF" w:rsidRDefault="005A49A0" w:rsidP="00574C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kupující neuhradí kupní cenu řádně a včas, má prodávající právo v souladu s ustanovením § 1977 zákona č. 89/2012 Sb. od smlouvy odstoupit, pokud to kupujícímu (prodlévajícímu) oznámí </w:t>
      </w:r>
      <w:r>
        <w:rPr>
          <w:rFonts w:ascii="Arial" w:hAnsi="Arial" w:cs="Arial"/>
        </w:rPr>
        <w:t>bez zbytečného odkladu poté, co se o prodlení dozvěděl.</w:t>
      </w:r>
    </w:p>
    <w:p w:rsidR="00574CAF" w:rsidRDefault="005A49A0" w:rsidP="00574C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je též oprávněn od této smlouvy odstoupit, jestliže se prokáže, že prohlášení kupujícího uvedená v Čl. V. nejsou pravdivá, úplná nebo přesná.</w:t>
      </w:r>
    </w:p>
    <w:p w:rsidR="00574CAF" w:rsidRDefault="00574CAF" w:rsidP="00574CAF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574CAF" w:rsidRDefault="005A49A0" w:rsidP="00574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VIII.</w:t>
      </w:r>
    </w:p>
    <w:p w:rsidR="00574CAF" w:rsidRDefault="005A49A0" w:rsidP="00574CA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Odstoupením od smlouvy prodávajícím</w:t>
      </w:r>
      <w:r>
        <w:rPr>
          <w:rFonts w:ascii="Arial" w:hAnsi="Arial" w:cs="Arial"/>
        </w:rPr>
        <w:t xml:space="preserve"> zároveň vznikne prodávajícímu právo na náhradu veškerých nákladů, které mu vznikly v souvislosti s prodejem převáděného majetku.</w:t>
      </w:r>
    </w:p>
    <w:p w:rsidR="00574CAF" w:rsidRDefault="005A49A0" w:rsidP="00574CA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 od této smlouvy kteroukoliv ze smluvních stran se nedotýká povinnosti kupujícího zaplatit peněžitá plnění (zejm. úr</w:t>
      </w:r>
      <w:r>
        <w:rPr>
          <w:rFonts w:ascii="Arial" w:hAnsi="Arial" w:cs="Arial"/>
        </w:rPr>
        <w:t xml:space="preserve">oky z prodlení, smluvní pokuty), na jejichž úhradu dle této smlouvy vznikl prodávajícímu nárok do data účinnosti odstoupení. </w:t>
      </w:r>
    </w:p>
    <w:p w:rsidR="00574CAF" w:rsidRDefault="005A49A0" w:rsidP="00574CA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 od smlouvy musí být v písemné formě a nabývá účinnosti dnem doručení druhé straně. Odstoupením se závazky z této smlouv</w:t>
      </w:r>
      <w:r>
        <w:rPr>
          <w:rFonts w:ascii="Arial" w:hAnsi="Arial" w:cs="Arial"/>
        </w:rPr>
        <w:t xml:space="preserve">y ruší od počátku a smluvní strany si vrátí vše, co si splnily, kromě peněžitých plnění (např. úroků z prodlení, smluvních pokut), na jejichž úhradu vznikl prodávajícímu nárok do data účinnosti odstoupení. </w:t>
      </w:r>
    </w:p>
    <w:p w:rsidR="00574CAF" w:rsidRDefault="005A49A0" w:rsidP="00574CA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dojde k odstoupení od smlouvy a kupní cena </w:t>
      </w:r>
      <w:r>
        <w:rPr>
          <w:rFonts w:ascii="Arial" w:hAnsi="Arial" w:cs="Arial"/>
        </w:rPr>
        <w:t>již byla zaplacena, má prodávající povinnost do 30 dnů od účinků odstoupení vrátit kupní cenu sníženou o:</w:t>
      </w:r>
    </w:p>
    <w:p w:rsidR="00574CAF" w:rsidRDefault="005A49A0" w:rsidP="00574CA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náklady, které vznikly prodávajícímu v souvislosti s prodejem převáděného majetku</w:t>
      </w:r>
    </w:p>
    <w:p w:rsidR="00574CAF" w:rsidRDefault="005A49A0" w:rsidP="00574CA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vyúčtované smluvní pokuty a úroky z prodlení</w:t>
      </w:r>
    </w:p>
    <w:p w:rsidR="00574CAF" w:rsidRDefault="005A49A0" w:rsidP="00574CAF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účet kupujícího.</w:t>
      </w:r>
    </w:p>
    <w:p w:rsidR="00574CAF" w:rsidRDefault="005A49A0" w:rsidP="00574CA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Nebyla-li kupní cena dosud uhrazena a od kupní smlouvy odstoupil prodávající, má kupující povinnost vyúčtované náklady, které vznikly v souvislosti s prodejem převáděného majetku, vyúčtované smluvní pokuty, úroky z prodlení, pokud vznikly podle této smlouv</w:t>
      </w:r>
      <w:r>
        <w:rPr>
          <w:rFonts w:ascii="Arial" w:hAnsi="Arial" w:cs="Arial"/>
        </w:rPr>
        <w:t xml:space="preserve">y, uhradit prodávajícímu ve lhůtě, která bude kupujícímu oznámena ve výzvě prodávajícího k zaplacení, přičemž tato lhůta nebude kratší než 30 dnů ode dne odeslání výzvy k úhradě. </w:t>
      </w:r>
    </w:p>
    <w:p w:rsidR="00574CAF" w:rsidRDefault="00574CAF" w:rsidP="00574CAF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574CAF" w:rsidRDefault="005A49A0" w:rsidP="00574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IX.</w:t>
      </w:r>
    </w:p>
    <w:p w:rsidR="00574CAF" w:rsidRDefault="005A49A0" w:rsidP="00574CA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Vlastnické právo k převáděnému majetku nabývá kupující zápisem do </w:t>
      </w:r>
      <w:r>
        <w:rPr>
          <w:rFonts w:ascii="Arial" w:hAnsi="Arial" w:cs="Arial"/>
        </w:rPr>
        <w:t>katastru nemovitostí. Právní účinky zápisu nastanou k okamžiku podání návrhu na vklad katastrálnímu úřadu. Tímto dnem na kupujícího přecházejí veškerá práva a povinnosti spojené s vlastnictvím a užíváním převáděného majetku.</w:t>
      </w:r>
    </w:p>
    <w:p w:rsidR="00574CAF" w:rsidRDefault="005A49A0" w:rsidP="00574CA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zápis vkladu vlastnick</w:t>
      </w:r>
      <w:r>
        <w:rPr>
          <w:rFonts w:ascii="Arial" w:hAnsi="Arial" w:cs="Arial"/>
        </w:rPr>
        <w:t>ého práva do katastru nemovitostí podají prodávající a kupující společně prostřednictvím prodávajícího, a to bez zbytečného odkladu po úplném zaplacení kupní ceny včetně příslušenství a příp. smluvních pokut. Doklad o zaplacení, resp. prohlášení prodávajíc</w:t>
      </w:r>
      <w:r>
        <w:rPr>
          <w:rFonts w:ascii="Arial" w:hAnsi="Arial" w:cs="Arial"/>
        </w:rPr>
        <w:t>ího o tom, že uvedená částka byla uhrazena, bude obsažen v návrhu na zápis vkladu vlastnického práva do katastru nemovitostí. Správní poplatky spojené s touto smlouvou nese kupující.</w:t>
      </w:r>
    </w:p>
    <w:p w:rsidR="00574CAF" w:rsidRDefault="005A49A0" w:rsidP="00574CA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by příslušným katastrálním úřadem byl návrh na zápis vkladu vlastni</w:t>
      </w:r>
      <w:r>
        <w:rPr>
          <w:rFonts w:ascii="Arial" w:hAnsi="Arial" w:cs="Arial"/>
        </w:rPr>
        <w:t>ckého práva k prodávanému převáděnému majetku dle této smlouvy pro kupujícího pravomocně zamítnut, účastníci této smlouvy se zavazují k součinnosti směřující k naplnění vůle obou smluvních stran.</w:t>
      </w:r>
    </w:p>
    <w:p w:rsidR="00574CAF" w:rsidRDefault="005A49A0" w:rsidP="00574CA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případ, že vklad vlastnického práva k prodávanému převád</w:t>
      </w:r>
      <w:r>
        <w:rPr>
          <w:rFonts w:ascii="Arial" w:hAnsi="Arial" w:cs="Arial"/>
        </w:rPr>
        <w:t>ěnému majetku podle této smlouvy pro kupujícího nebude příslušným katastrálním úřadem ani po součinnosti stran podle odstavce 3 povolen, smluvní strany si sjednávají rozvazovací podmínku tak, že se tato kupní smlouva ruší od počátku. Prodávající se zavazuj</w:t>
      </w:r>
      <w:r>
        <w:rPr>
          <w:rFonts w:ascii="Arial" w:hAnsi="Arial" w:cs="Arial"/>
        </w:rPr>
        <w:t>e písemně oznámit kupujícímu naplnění této rozvazovací podmínky této kupní smlouvy bezodkladně po jejím vzniku. Prodávající vrátí kupujícímu kupní cenu do 30 dnů od naplnění této rozvazovací podmínky.</w:t>
      </w:r>
    </w:p>
    <w:p w:rsidR="00574CAF" w:rsidRDefault="00574CAF" w:rsidP="00574CAF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574CAF" w:rsidRDefault="005A49A0" w:rsidP="00574CAF">
      <w:pPr>
        <w:jc w:val="center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</w:rPr>
        <w:t>Čl. X.</w:t>
      </w:r>
    </w:p>
    <w:p w:rsidR="00574CAF" w:rsidRDefault="005A49A0" w:rsidP="00574CAF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je uzavřena a nabývá platnosti a účinno</w:t>
      </w:r>
      <w:r>
        <w:rPr>
          <w:rFonts w:ascii="Arial" w:hAnsi="Arial" w:cs="Arial"/>
        </w:rPr>
        <w:t>sti dnem schválení příslušným ministerstvem podle ustanovení § 22 zákona č. 219/2000 Sb.</w:t>
      </w:r>
    </w:p>
    <w:p w:rsidR="00574CAF" w:rsidRDefault="005A49A0" w:rsidP="00574CA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nepodléhá uveřejnění v registru smluv v souladu s ustanovením § 3 odst. 2 písm. h) zákona č. 340/2015 Sb., o zvláštních podmínkách účinnosti některých sml</w:t>
      </w:r>
      <w:r>
        <w:rPr>
          <w:rFonts w:ascii="Arial" w:hAnsi="Arial" w:cs="Arial"/>
        </w:rPr>
        <w:t xml:space="preserve">uv, uveřejňování těchto smluv a o registru smluv (zákon o registru smluv), ve znění pozdějších předpisů </w:t>
      </w:r>
      <w:r>
        <w:rPr>
          <w:rFonts w:ascii="Arial" w:hAnsi="Arial" w:cs="Arial"/>
          <w:i/>
          <w:color w:val="0070C0"/>
        </w:rPr>
        <w:t xml:space="preserve">u výjimky dle písm. k) ještě doplnit: </w:t>
      </w:r>
      <w:r>
        <w:rPr>
          <w:rFonts w:ascii="Arial" w:hAnsi="Arial" w:cs="Arial"/>
        </w:rPr>
        <w:t>, protože kupující není obcí s rozšířenou působností ve smyslu zákona č. 314/2002 Sb., o stanovení obcí s pověřený</w:t>
      </w:r>
      <w:r>
        <w:rPr>
          <w:rFonts w:ascii="Arial" w:hAnsi="Arial" w:cs="Arial"/>
        </w:rPr>
        <w:t>m obecním úřadem a stanovení obcí s rozšířenou působností.</w:t>
      </w:r>
    </w:p>
    <w:p w:rsidR="00574CAF" w:rsidRDefault="005A49A0" w:rsidP="00574CA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jsou svými projevy vázány od okamžiku podpisu této smlouvy.</w:t>
      </w:r>
    </w:p>
    <w:p w:rsidR="00574CAF" w:rsidRDefault="005A49A0" w:rsidP="00574CA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není-li v této smlouvě stanoveno jinak, řídí se práva a povinnosti smluv</w:t>
      </w:r>
      <w:r>
        <w:rPr>
          <w:rFonts w:ascii="Arial" w:hAnsi="Arial" w:cs="Arial"/>
        </w:rPr>
        <w:t>ních stran zákonem č. 89/2012 Sb. a zákonem č. 219/2000 Sb.</w:t>
      </w:r>
    </w:p>
    <w:p w:rsidR="00574CAF" w:rsidRDefault="005A49A0" w:rsidP="00574CA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jakékoli změny a doplňky této smlouvy jsou možné pouze písemnou formou, v podobě oboustranně uzavřených, vzestupně číslovaných dodatků smlouvy.</w:t>
      </w:r>
    </w:p>
    <w:p w:rsidR="00574CAF" w:rsidRDefault="005A49A0" w:rsidP="00574CA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Poplatkové a daňové po</w:t>
      </w:r>
      <w:r>
        <w:rPr>
          <w:rFonts w:ascii="Arial" w:hAnsi="Arial" w:cs="Arial"/>
        </w:rPr>
        <w:t>vinnosti spojené s touto smlouvou nese kupující.</w:t>
      </w:r>
    </w:p>
    <w:p w:rsidR="00574CAF" w:rsidRDefault="005A49A0" w:rsidP="00574CA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……. stejnopisech. Každá ze smluvních stran obdrží po jednom vyhotovení, jedno vyhotovení bude určeno pro příslušné ministerstvo a jedno vyhotovení bude použito k zápisu vlastnic</w:t>
      </w:r>
      <w:r>
        <w:rPr>
          <w:rFonts w:ascii="Arial" w:hAnsi="Arial" w:cs="Arial"/>
        </w:rPr>
        <w:t>kého práva vkladem do katastru nemovitostí.</w:t>
      </w:r>
    </w:p>
    <w:p w:rsidR="00574CAF" w:rsidRDefault="005A49A0" w:rsidP="00574CAF">
      <w:pPr>
        <w:pStyle w:val="Prosttex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je:</w:t>
      </w:r>
    </w:p>
    <w:p w:rsidR="00574CAF" w:rsidRDefault="005A49A0" w:rsidP="00574CAF">
      <w:pPr>
        <w:pStyle w:val="Prost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doložka dle zákona č. ...</w:t>
      </w:r>
    </w:p>
    <w:p w:rsidR="00574CAF" w:rsidRDefault="005A49A0" w:rsidP="00574CA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70C0"/>
        </w:rPr>
        <w:t>Je-li kupujícím obec nebo kraj:</w:t>
      </w:r>
      <w:r>
        <w:rPr>
          <w:rFonts w:ascii="Arial" w:hAnsi="Arial" w:cs="Arial"/>
        </w:rPr>
        <w:t xml:space="preserve"> Smluvní strany výslovně souhlasí s tím, aby tato smlouva ve svém úplném znění byla zveřejněna v rámci informací zpřístu</w:t>
      </w:r>
      <w:r>
        <w:rPr>
          <w:rFonts w:ascii="Arial" w:hAnsi="Arial" w:cs="Arial"/>
        </w:rPr>
        <w:t>pňovaných veřejnosti prostřednictvím dálkového přístupu. Smluvní strany prohlašují, že skutečnosti uvedené v této smlouvě nepovažují za obchodní tajemství ve smyslu ustanovení § 504 zákona č. 89/2012 Sb. a udělují svolení k jejich užití a zveřejnění bez st</w:t>
      </w:r>
      <w:r>
        <w:rPr>
          <w:rFonts w:ascii="Arial" w:hAnsi="Arial" w:cs="Arial"/>
        </w:rPr>
        <w:t>anovení jakýchkoli dalších podmínek.</w:t>
      </w:r>
    </w:p>
    <w:p w:rsidR="00574CAF" w:rsidRDefault="005A49A0" w:rsidP="00574CA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tuto smlouvu uzavřely svobodně a vážně, nikoliv z přinucení nebo omylu. Na důkaz toho připojují své vlastnoruční podpisy.</w:t>
      </w:r>
    </w:p>
    <w:p w:rsidR="00574CAF" w:rsidRDefault="00574CAF" w:rsidP="00574CAF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10133" w:type="dxa"/>
        <w:tblLook w:val="04A0" w:firstRow="1" w:lastRow="0" w:firstColumn="1" w:lastColumn="0" w:noHBand="0" w:noVBand="1"/>
      </w:tblPr>
      <w:tblGrid>
        <w:gridCol w:w="5087"/>
        <w:gridCol w:w="5046"/>
      </w:tblGrid>
      <w:tr w:rsidR="00B56142" w:rsidTr="00574CAF">
        <w:trPr>
          <w:trHeight w:val="160"/>
        </w:trPr>
        <w:tc>
          <w:tcPr>
            <w:tcW w:w="5087" w:type="dxa"/>
            <w:hideMark/>
          </w:tcPr>
          <w:p w:rsidR="00574CAF" w:rsidRDefault="005A49A0">
            <w:pPr>
              <w:pStyle w:val="vnintext"/>
              <w:spacing w:line="25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 Lounech. dne ...</w:t>
            </w:r>
          </w:p>
        </w:tc>
        <w:tc>
          <w:tcPr>
            <w:tcW w:w="5046" w:type="dxa"/>
            <w:hideMark/>
          </w:tcPr>
          <w:p w:rsidR="00574CAF" w:rsidRDefault="005A49A0">
            <w:pPr>
              <w:pStyle w:val="vnintext"/>
              <w:spacing w:line="25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 ... dne ...</w:t>
            </w:r>
          </w:p>
        </w:tc>
      </w:tr>
      <w:tr w:rsidR="00B56142" w:rsidTr="00574CAF">
        <w:trPr>
          <w:trHeight w:val="53"/>
        </w:trPr>
        <w:tc>
          <w:tcPr>
            <w:tcW w:w="5087" w:type="dxa"/>
            <w:hideMark/>
          </w:tcPr>
          <w:p w:rsidR="00574CAF" w:rsidRDefault="005A49A0">
            <w:pPr>
              <w:pStyle w:val="vnintext"/>
              <w:spacing w:line="25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46" w:type="dxa"/>
            <w:hideMark/>
          </w:tcPr>
          <w:p w:rsidR="00574CAF" w:rsidRDefault="00574CAF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6142" w:rsidTr="00574CAF">
        <w:trPr>
          <w:trHeight w:val="53"/>
        </w:trPr>
        <w:tc>
          <w:tcPr>
            <w:tcW w:w="5087" w:type="dxa"/>
            <w:hideMark/>
          </w:tcPr>
          <w:p w:rsidR="00574CAF" w:rsidRDefault="005A49A0">
            <w:pPr>
              <w:pStyle w:val="vnintext"/>
              <w:spacing w:line="256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Česká republika - Úřad pro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zastupování státu ve věcech majetkových</w:t>
            </w:r>
          </w:p>
        </w:tc>
        <w:tc>
          <w:tcPr>
            <w:tcW w:w="5046" w:type="dxa"/>
            <w:hideMark/>
          </w:tcPr>
          <w:p w:rsidR="00574CAF" w:rsidRDefault="005A49A0">
            <w:pPr>
              <w:pStyle w:val="vnintext"/>
              <w:spacing w:line="256" w:lineRule="auto"/>
              <w:ind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AB</w:t>
            </w:r>
          </w:p>
        </w:tc>
      </w:tr>
      <w:tr w:rsidR="00B56142" w:rsidTr="00574CAF">
        <w:trPr>
          <w:trHeight w:val="1028"/>
        </w:trPr>
        <w:tc>
          <w:tcPr>
            <w:tcW w:w="5087" w:type="dxa"/>
          </w:tcPr>
          <w:p w:rsidR="00574CAF" w:rsidRDefault="00574CAF">
            <w:pPr>
              <w:pStyle w:val="vnintext"/>
              <w:spacing w:line="256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6" w:type="dxa"/>
          </w:tcPr>
          <w:p w:rsidR="00574CAF" w:rsidRDefault="00574CAF">
            <w:pPr>
              <w:pStyle w:val="vnintext"/>
              <w:spacing w:line="25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6142" w:rsidTr="00574CAF">
        <w:trPr>
          <w:trHeight w:val="23"/>
        </w:trPr>
        <w:tc>
          <w:tcPr>
            <w:tcW w:w="5087" w:type="dxa"/>
            <w:hideMark/>
          </w:tcPr>
          <w:p w:rsidR="00574CAF" w:rsidRDefault="005A49A0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</w:t>
            </w:r>
          </w:p>
        </w:tc>
        <w:tc>
          <w:tcPr>
            <w:tcW w:w="5046" w:type="dxa"/>
            <w:hideMark/>
          </w:tcPr>
          <w:p w:rsidR="00574CAF" w:rsidRDefault="005A49A0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</w:t>
            </w:r>
          </w:p>
        </w:tc>
      </w:tr>
      <w:tr w:rsidR="00B56142" w:rsidTr="00574CAF">
        <w:trPr>
          <w:trHeight w:val="53"/>
        </w:trPr>
        <w:tc>
          <w:tcPr>
            <w:tcW w:w="5087" w:type="dxa"/>
            <w:hideMark/>
          </w:tcPr>
          <w:p w:rsidR="00574CAF" w:rsidRDefault="005A49A0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Ing. Miloš Tajtl</w:t>
            </w:r>
          </w:p>
          <w:p w:rsidR="00574CAF" w:rsidRDefault="005A49A0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ředitel odboru</w:t>
            </w:r>
          </w:p>
          <w:p w:rsidR="00574CAF" w:rsidRDefault="005A49A0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Odloučené pracoviště Louny</w:t>
            </w:r>
          </w:p>
        </w:tc>
        <w:tc>
          <w:tcPr>
            <w:tcW w:w="5046" w:type="dxa"/>
            <w:hideMark/>
          </w:tcPr>
          <w:p w:rsidR="00574CAF" w:rsidRDefault="005A49A0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b/>
                <w:strike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akademický titul, jméno, příjmení,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vědecká hodnost, funkce opravňující k jednání nebo jednající na základě plné moci</w:t>
            </w:r>
          </w:p>
        </w:tc>
      </w:tr>
    </w:tbl>
    <w:p w:rsidR="00574CAF" w:rsidRDefault="00574CAF" w:rsidP="00574CAF">
      <w:pPr>
        <w:rPr>
          <w:rFonts w:ascii="Arial" w:hAnsi="Arial" w:cs="Arial"/>
          <w:sz w:val="22"/>
          <w:szCs w:val="22"/>
        </w:rPr>
      </w:pPr>
    </w:p>
    <w:p w:rsidR="00E07B64" w:rsidRPr="00A43C1C" w:rsidRDefault="00E07B64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8B9"/>
    <w:multiLevelType w:val="hybridMultilevel"/>
    <w:tmpl w:val="3B64DEA6"/>
    <w:lvl w:ilvl="0" w:tplc="C792E678">
      <w:start w:val="1"/>
      <w:numFmt w:val="decimal"/>
      <w:lvlText w:val="%1."/>
      <w:lvlJc w:val="left"/>
      <w:pPr>
        <w:ind w:left="360" w:hanging="360"/>
      </w:pPr>
    </w:lvl>
    <w:lvl w:ilvl="1" w:tplc="28BE77A6">
      <w:start w:val="1"/>
      <w:numFmt w:val="lowerLetter"/>
      <w:lvlText w:val="%2."/>
      <w:lvlJc w:val="left"/>
      <w:pPr>
        <w:ind w:left="1080" w:hanging="360"/>
      </w:pPr>
    </w:lvl>
    <w:lvl w:ilvl="2" w:tplc="7BE68F68">
      <w:start w:val="1"/>
      <w:numFmt w:val="lowerRoman"/>
      <w:lvlText w:val="%3."/>
      <w:lvlJc w:val="right"/>
      <w:pPr>
        <w:ind w:left="1800" w:hanging="180"/>
      </w:pPr>
    </w:lvl>
    <w:lvl w:ilvl="3" w:tplc="2ADEFF56">
      <w:start w:val="1"/>
      <w:numFmt w:val="decimal"/>
      <w:lvlText w:val="%4."/>
      <w:lvlJc w:val="left"/>
      <w:pPr>
        <w:ind w:left="2520" w:hanging="360"/>
      </w:pPr>
    </w:lvl>
    <w:lvl w:ilvl="4" w:tplc="451A4992">
      <w:start w:val="1"/>
      <w:numFmt w:val="lowerLetter"/>
      <w:lvlText w:val="%5."/>
      <w:lvlJc w:val="left"/>
      <w:pPr>
        <w:ind w:left="3240" w:hanging="360"/>
      </w:pPr>
    </w:lvl>
    <w:lvl w:ilvl="5" w:tplc="C55E58FA">
      <w:start w:val="1"/>
      <w:numFmt w:val="lowerRoman"/>
      <w:lvlText w:val="%6."/>
      <w:lvlJc w:val="right"/>
      <w:pPr>
        <w:ind w:left="3960" w:hanging="180"/>
      </w:pPr>
    </w:lvl>
    <w:lvl w:ilvl="6" w:tplc="C1DCA140">
      <w:start w:val="1"/>
      <w:numFmt w:val="decimal"/>
      <w:lvlText w:val="%7."/>
      <w:lvlJc w:val="left"/>
      <w:pPr>
        <w:ind w:left="4680" w:hanging="360"/>
      </w:pPr>
    </w:lvl>
    <w:lvl w:ilvl="7" w:tplc="941C5DA0">
      <w:start w:val="1"/>
      <w:numFmt w:val="lowerLetter"/>
      <w:lvlText w:val="%8."/>
      <w:lvlJc w:val="left"/>
      <w:pPr>
        <w:ind w:left="5400" w:hanging="360"/>
      </w:pPr>
    </w:lvl>
    <w:lvl w:ilvl="8" w:tplc="20084C52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53058"/>
    <w:multiLevelType w:val="hybridMultilevel"/>
    <w:tmpl w:val="3B64DEA6"/>
    <w:lvl w:ilvl="0" w:tplc="12C8E28C">
      <w:start w:val="1"/>
      <w:numFmt w:val="decimal"/>
      <w:lvlText w:val="%1."/>
      <w:lvlJc w:val="left"/>
      <w:pPr>
        <w:ind w:left="360" w:hanging="360"/>
      </w:pPr>
    </w:lvl>
    <w:lvl w:ilvl="1" w:tplc="CD769D80">
      <w:start w:val="1"/>
      <w:numFmt w:val="lowerLetter"/>
      <w:lvlText w:val="%2."/>
      <w:lvlJc w:val="left"/>
      <w:pPr>
        <w:ind w:left="1080" w:hanging="360"/>
      </w:pPr>
    </w:lvl>
    <w:lvl w:ilvl="2" w:tplc="D00E5A40">
      <w:start w:val="1"/>
      <w:numFmt w:val="lowerRoman"/>
      <w:lvlText w:val="%3."/>
      <w:lvlJc w:val="right"/>
      <w:pPr>
        <w:ind w:left="1800" w:hanging="180"/>
      </w:pPr>
    </w:lvl>
    <w:lvl w:ilvl="3" w:tplc="A3E86430">
      <w:start w:val="1"/>
      <w:numFmt w:val="decimal"/>
      <w:lvlText w:val="%4."/>
      <w:lvlJc w:val="left"/>
      <w:pPr>
        <w:ind w:left="2520" w:hanging="360"/>
      </w:pPr>
    </w:lvl>
    <w:lvl w:ilvl="4" w:tplc="0192920C">
      <w:start w:val="1"/>
      <w:numFmt w:val="lowerLetter"/>
      <w:lvlText w:val="%5."/>
      <w:lvlJc w:val="left"/>
      <w:pPr>
        <w:ind w:left="3240" w:hanging="360"/>
      </w:pPr>
    </w:lvl>
    <w:lvl w:ilvl="5" w:tplc="6BD2BC00">
      <w:start w:val="1"/>
      <w:numFmt w:val="lowerRoman"/>
      <w:lvlText w:val="%6."/>
      <w:lvlJc w:val="right"/>
      <w:pPr>
        <w:ind w:left="3960" w:hanging="180"/>
      </w:pPr>
    </w:lvl>
    <w:lvl w:ilvl="6" w:tplc="CDAE355A">
      <w:start w:val="1"/>
      <w:numFmt w:val="decimal"/>
      <w:lvlText w:val="%7."/>
      <w:lvlJc w:val="left"/>
      <w:pPr>
        <w:ind w:left="4680" w:hanging="360"/>
      </w:pPr>
    </w:lvl>
    <w:lvl w:ilvl="7" w:tplc="2D0C8EC6">
      <w:start w:val="1"/>
      <w:numFmt w:val="lowerLetter"/>
      <w:lvlText w:val="%8."/>
      <w:lvlJc w:val="left"/>
      <w:pPr>
        <w:ind w:left="5400" w:hanging="360"/>
      </w:pPr>
    </w:lvl>
    <w:lvl w:ilvl="8" w:tplc="CD8C2E7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547E29"/>
    <w:multiLevelType w:val="hybridMultilevel"/>
    <w:tmpl w:val="984411E2"/>
    <w:lvl w:ilvl="0" w:tplc="34AAE920">
      <w:start w:val="1"/>
      <w:numFmt w:val="decimal"/>
      <w:lvlText w:val="%1."/>
      <w:lvlJc w:val="left"/>
      <w:pPr>
        <w:ind w:left="360" w:hanging="360"/>
      </w:pPr>
    </w:lvl>
    <w:lvl w:ilvl="1" w:tplc="22D4931E">
      <w:start w:val="1"/>
      <w:numFmt w:val="lowerLetter"/>
      <w:lvlText w:val="%2."/>
      <w:lvlJc w:val="left"/>
      <w:pPr>
        <w:ind w:left="1080" w:hanging="360"/>
      </w:pPr>
    </w:lvl>
    <w:lvl w:ilvl="2" w:tplc="61AA16D0">
      <w:start w:val="1"/>
      <w:numFmt w:val="lowerRoman"/>
      <w:lvlText w:val="%3."/>
      <w:lvlJc w:val="right"/>
      <w:pPr>
        <w:ind w:left="1800" w:hanging="180"/>
      </w:pPr>
    </w:lvl>
    <w:lvl w:ilvl="3" w:tplc="8D380C76">
      <w:start w:val="1"/>
      <w:numFmt w:val="decimal"/>
      <w:lvlText w:val="%4."/>
      <w:lvlJc w:val="left"/>
      <w:pPr>
        <w:ind w:left="2520" w:hanging="360"/>
      </w:pPr>
    </w:lvl>
    <w:lvl w:ilvl="4" w:tplc="61B02496">
      <w:start w:val="1"/>
      <w:numFmt w:val="lowerLetter"/>
      <w:lvlText w:val="%5."/>
      <w:lvlJc w:val="left"/>
      <w:pPr>
        <w:ind w:left="3240" w:hanging="360"/>
      </w:pPr>
    </w:lvl>
    <w:lvl w:ilvl="5" w:tplc="E5F69E76">
      <w:start w:val="1"/>
      <w:numFmt w:val="lowerRoman"/>
      <w:lvlText w:val="%6."/>
      <w:lvlJc w:val="right"/>
      <w:pPr>
        <w:ind w:left="3960" w:hanging="180"/>
      </w:pPr>
    </w:lvl>
    <w:lvl w:ilvl="6" w:tplc="838AA94C">
      <w:start w:val="1"/>
      <w:numFmt w:val="decimal"/>
      <w:lvlText w:val="%7."/>
      <w:lvlJc w:val="left"/>
      <w:pPr>
        <w:ind w:left="4680" w:hanging="360"/>
      </w:pPr>
    </w:lvl>
    <w:lvl w:ilvl="7" w:tplc="568252A0">
      <w:start w:val="1"/>
      <w:numFmt w:val="lowerLetter"/>
      <w:lvlText w:val="%8."/>
      <w:lvlJc w:val="left"/>
      <w:pPr>
        <w:ind w:left="5400" w:hanging="360"/>
      </w:pPr>
    </w:lvl>
    <w:lvl w:ilvl="8" w:tplc="3ECA2B4C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4E6288"/>
    <w:multiLevelType w:val="hybridMultilevel"/>
    <w:tmpl w:val="9998DC44"/>
    <w:lvl w:ilvl="0" w:tplc="9AFC5C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5A6A83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EC7C7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2201B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CC17E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B6004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16B0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B4B72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0E141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BD36BB"/>
    <w:multiLevelType w:val="hybridMultilevel"/>
    <w:tmpl w:val="0248E2F0"/>
    <w:lvl w:ilvl="0" w:tplc="74404000">
      <w:start w:val="1"/>
      <w:numFmt w:val="decimal"/>
      <w:lvlText w:val="%1."/>
      <w:lvlJc w:val="left"/>
      <w:pPr>
        <w:ind w:left="360" w:hanging="360"/>
      </w:pPr>
    </w:lvl>
    <w:lvl w:ilvl="1" w:tplc="B6184924">
      <w:start w:val="1"/>
      <w:numFmt w:val="lowerLetter"/>
      <w:lvlText w:val="%2."/>
      <w:lvlJc w:val="left"/>
      <w:pPr>
        <w:ind w:left="1080" w:hanging="360"/>
      </w:pPr>
    </w:lvl>
    <w:lvl w:ilvl="2" w:tplc="52B09AB8">
      <w:start w:val="1"/>
      <w:numFmt w:val="lowerRoman"/>
      <w:lvlText w:val="%3."/>
      <w:lvlJc w:val="right"/>
      <w:pPr>
        <w:ind w:left="1800" w:hanging="180"/>
      </w:pPr>
    </w:lvl>
    <w:lvl w:ilvl="3" w:tplc="198A2BCC">
      <w:start w:val="1"/>
      <w:numFmt w:val="decimal"/>
      <w:lvlText w:val="%4."/>
      <w:lvlJc w:val="left"/>
      <w:pPr>
        <w:ind w:left="2520" w:hanging="360"/>
      </w:pPr>
    </w:lvl>
    <w:lvl w:ilvl="4" w:tplc="83E8ED7C">
      <w:start w:val="1"/>
      <w:numFmt w:val="lowerLetter"/>
      <w:lvlText w:val="%5."/>
      <w:lvlJc w:val="left"/>
      <w:pPr>
        <w:ind w:left="3240" w:hanging="360"/>
      </w:pPr>
    </w:lvl>
    <w:lvl w:ilvl="5" w:tplc="2DCEAD00">
      <w:start w:val="1"/>
      <w:numFmt w:val="lowerRoman"/>
      <w:lvlText w:val="%6."/>
      <w:lvlJc w:val="right"/>
      <w:pPr>
        <w:ind w:left="3960" w:hanging="180"/>
      </w:pPr>
    </w:lvl>
    <w:lvl w:ilvl="6" w:tplc="6FD0D76A">
      <w:start w:val="1"/>
      <w:numFmt w:val="decimal"/>
      <w:lvlText w:val="%7."/>
      <w:lvlJc w:val="left"/>
      <w:pPr>
        <w:ind w:left="4680" w:hanging="360"/>
      </w:pPr>
    </w:lvl>
    <w:lvl w:ilvl="7" w:tplc="AF1EC34C">
      <w:start w:val="1"/>
      <w:numFmt w:val="lowerLetter"/>
      <w:lvlText w:val="%8."/>
      <w:lvlJc w:val="left"/>
      <w:pPr>
        <w:ind w:left="5400" w:hanging="360"/>
      </w:pPr>
    </w:lvl>
    <w:lvl w:ilvl="8" w:tplc="CD2230FC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75F31"/>
    <w:multiLevelType w:val="hybridMultilevel"/>
    <w:tmpl w:val="4E3A5D0C"/>
    <w:lvl w:ilvl="0" w:tplc="77767006">
      <w:start w:val="1"/>
      <w:numFmt w:val="decimal"/>
      <w:lvlText w:val="%1."/>
      <w:lvlJc w:val="left"/>
      <w:pPr>
        <w:ind w:left="720" w:hanging="360"/>
      </w:pPr>
    </w:lvl>
    <w:lvl w:ilvl="1" w:tplc="086452F0">
      <w:start w:val="1"/>
      <w:numFmt w:val="lowerLetter"/>
      <w:lvlText w:val="%2."/>
      <w:lvlJc w:val="left"/>
      <w:pPr>
        <w:ind w:left="1440" w:hanging="360"/>
      </w:pPr>
    </w:lvl>
    <w:lvl w:ilvl="2" w:tplc="3D007F5C">
      <w:start w:val="1"/>
      <w:numFmt w:val="lowerRoman"/>
      <w:lvlText w:val="%3."/>
      <w:lvlJc w:val="right"/>
      <w:pPr>
        <w:ind w:left="2160" w:hanging="180"/>
      </w:pPr>
    </w:lvl>
    <w:lvl w:ilvl="3" w:tplc="6BDC3966">
      <w:start w:val="1"/>
      <w:numFmt w:val="decimal"/>
      <w:lvlText w:val="%4."/>
      <w:lvlJc w:val="left"/>
      <w:pPr>
        <w:ind w:left="2880" w:hanging="360"/>
      </w:pPr>
    </w:lvl>
    <w:lvl w:ilvl="4" w:tplc="600060C0">
      <w:start w:val="1"/>
      <w:numFmt w:val="lowerLetter"/>
      <w:lvlText w:val="%5."/>
      <w:lvlJc w:val="left"/>
      <w:pPr>
        <w:ind w:left="3600" w:hanging="360"/>
      </w:pPr>
    </w:lvl>
    <w:lvl w:ilvl="5" w:tplc="3D80A326">
      <w:start w:val="1"/>
      <w:numFmt w:val="lowerRoman"/>
      <w:lvlText w:val="%6."/>
      <w:lvlJc w:val="right"/>
      <w:pPr>
        <w:ind w:left="4320" w:hanging="180"/>
      </w:pPr>
    </w:lvl>
    <w:lvl w:ilvl="6" w:tplc="81B0A0BA">
      <w:start w:val="1"/>
      <w:numFmt w:val="decimal"/>
      <w:lvlText w:val="%7."/>
      <w:lvlJc w:val="left"/>
      <w:pPr>
        <w:ind w:left="5040" w:hanging="360"/>
      </w:pPr>
    </w:lvl>
    <w:lvl w:ilvl="7" w:tplc="93AA6D60">
      <w:start w:val="1"/>
      <w:numFmt w:val="lowerLetter"/>
      <w:lvlText w:val="%8."/>
      <w:lvlJc w:val="left"/>
      <w:pPr>
        <w:ind w:left="5760" w:hanging="360"/>
      </w:pPr>
    </w:lvl>
    <w:lvl w:ilvl="8" w:tplc="85BE512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7AAE"/>
    <w:multiLevelType w:val="hybridMultilevel"/>
    <w:tmpl w:val="953A5EF4"/>
    <w:lvl w:ilvl="0" w:tplc="E8D82E6E">
      <w:start w:val="1"/>
      <w:numFmt w:val="decimal"/>
      <w:lvlText w:val="%1."/>
      <w:lvlJc w:val="left"/>
      <w:pPr>
        <w:ind w:left="360" w:hanging="360"/>
      </w:pPr>
    </w:lvl>
    <w:lvl w:ilvl="1" w:tplc="9418EBC4">
      <w:start w:val="1"/>
      <w:numFmt w:val="lowerLetter"/>
      <w:lvlText w:val="%2."/>
      <w:lvlJc w:val="left"/>
      <w:pPr>
        <w:ind w:left="1080" w:hanging="360"/>
      </w:pPr>
    </w:lvl>
    <w:lvl w:ilvl="2" w:tplc="4CB41B7A">
      <w:start w:val="1"/>
      <w:numFmt w:val="lowerRoman"/>
      <w:lvlText w:val="%3."/>
      <w:lvlJc w:val="right"/>
      <w:pPr>
        <w:ind w:left="1800" w:hanging="180"/>
      </w:pPr>
    </w:lvl>
    <w:lvl w:ilvl="3" w:tplc="5AFCFD8C">
      <w:start w:val="1"/>
      <w:numFmt w:val="decimal"/>
      <w:lvlText w:val="%4."/>
      <w:lvlJc w:val="left"/>
      <w:pPr>
        <w:ind w:left="2520" w:hanging="360"/>
      </w:pPr>
    </w:lvl>
    <w:lvl w:ilvl="4" w:tplc="9236CE88">
      <w:start w:val="1"/>
      <w:numFmt w:val="lowerLetter"/>
      <w:lvlText w:val="%5."/>
      <w:lvlJc w:val="left"/>
      <w:pPr>
        <w:ind w:left="3240" w:hanging="360"/>
      </w:pPr>
    </w:lvl>
    <w:lvl w:ilvl="5" w:tplc="D0DC2C94">
      <w:start w:val="1"/>
      <w:numFmt w:val="lowerRoman"/>
      <w:lvlText w:val="%6."/>
      <w:lvlJc w:val="right"/>
      <w:pPr>
        <w:ind w:left="3960" w:hanging="180"/>
      </w:pPr>
    </w:lvl>
    <w:lvl w:ilvl="6" w:tplc="7474230A">
      <w:start w:val="1"/>
      <w:numFmt w:val="decimal"/>
      <w:lvlText w:val="%7."/>
      <w:lvlJc w:val="left"/>
      <w:pPr>
        <w:ind w:left="4680" w:hanging="360"/>
      </w:pPr>
    </w:lvl>
    <w:lvl w:ilvl="7" w:tplc="A0B84C72">
      <w:start w:val="1"/>
      <w:numFmt w:val="lowerLetter"/>
      <w:lvlText w:val="%8."/>
      <w:lvlJc w:val="left"/>
      <w:pPr>
        <w:ind w:left="5400" w:hanging="360"/>
      </w:pPr>
    </w:lvl>
    <w:lvl w:ilvl="8" w:tplc="1F44C34C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F324A"/>
    <w:multiLevelType w:val="hybridMultilevel"/>
    <w:tmpl w:val="0A1044DC"/>
    <w:lvl w:ilvl="0" w:tplc="FB744F46">
      <w:start w:val="1"/>
      <w:numFmt w:val="decimal"/>
      <w:lvlText w:val="%1."/>
      <w:lvlJc w:val="left"/>
      <w:pPr>
        <w:ind w:left="360" w:hanging="360"/>
      </w:pPr>
    </w:lvl>
    <w:lvl w:ilvl="1" w:tplc="C8781D2A">
      <w:start w:val="1"/>
      <w:numFmt w:val="lowerLetter"/>
      <w:lvlText w:val="%2."/>
      <w:lvlJc w:val="left"/>
      <w:pPr>
        <w:ind w:left="1080" w:hanging="360"/>
      </w:pPr>
    </w:lvl>
    <w:lvl w:ilvl="2" w:tplc="58703314">
      <w:start w:val="1"/>
      <w:numFmt w:val="lowerRoman"/>
      <w:lvlText w:val="%3."/>
      <w:lvlJc w:val="right"/>
      <w:pPr>
        <w:ind w:left="1800" w:hanging="180"/>
      </w:pPr>
    </w:lvl>
    <w:lvl w:ilvl="3" w:tplc="DBC4AC84">
      <w:start w:val="1"/>
      <w:numFmt w:val="decimal"/>
      <w:lvlText w:val="%4."/>
      <w:lvlJc w:val="left"/>
      <w:pPr>
        <w:ind w:left="2520" w:hanging="360"/>
      </w:pPr>
    </w:lvl>
    <w:lvl w:ilvl="4" w:tplc="DBBEC92A">
      <w:start w:val="1"/>
      <w:numFmt w:val="lowerLetter"/>
      <w:lvlText w:val="%5."/>
      <w:lvlJc w:val="left"/>
      <w:pPr>
        <w:ind w:left="3240" w:hanging="360"/>
      </w:pPr>
    </w:lvl>
    <w:lvl w:ilvl="5" w:tplc="042451F0">
      <w:start w:val="1"/>
      <w:numFmt w:val="lowerRoman"/>
      <w:lvlText w:val="%6."/>
      <w:lvlJc w:val="right"/>
      <w:pPr>
        <w:ind w:left="3960" w:hanging="180"/>
      </w:pPr>
    </w:lvl>
    <w:lvl w:ilvl="6" w:tplc="EDA2F488">
      <w:start w:val="1"/>
      <w:numFmt w:val="decimal"/>
      <w:lvlText w:val="%7."/>
      <w:lvlJc w:val="left"/>
      <w:pPr>
        <w:ind w:left="4680" w:hanging="360"/>
      </w:pPr>
    </w:lvl>
    <w:lvl w:ilvl="7" w:tplc="CDCED4BA">
      <w:start w:val="1"/>
      <w:numFmt w:val="lowerLetter"/>
      <w:lvlText w:val="%8."/>
      <w:lvlJc w:val="left"/>
      <w:pPr>
        <w:ind w:left="5400" w:hanging="360"/>
      </w:pPr>
    </w:lvl>
    <w:lvl w:ilvl="8" w:tplc="68DE963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4A4841"/>
    <w:multiLevelType w:val="hybridMultilevel"/>
    <w:tmpl w:val="6EDAF97A"/>
    <w:lvl w:ilvl="0" w:tplc="00447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3B85B9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C8AA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3C4AB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7EB85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EEBF7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7A0AAE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0EEC0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649F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853"/>
    <w:multiLevelType w:val="hybridMultilevel"/>
    <w:tmpl w:val="0F9880E0"/>
    <w:lvl w:ilvl="0" w:tplc="0BEE1420">
      <w:start w:val="1"/>
      <w:numFmt w:val="decimal"/>
      <w:lvlText w:val="%1."/>
      <w:lvlJc w:val="left"/>
      <w:pPr>
        <w:ind w:left="360" w:hanging="360"/>
      </w:pPr>
    </w:lvl>
    <w:lvl w:ilvl="1" w:tplc="5300C230">
      <w:start w:val="1"/>
      <w:numFmt w:val="lowerLetter"/>
      <w:lvlText w:val="%2."/>
      <w:lvlJc w:val="left"/>
      <w:pPr>
        <w:ind w:left="1080" w:hanging="360"/>
      </w:pPr>
    </w:lvl>
    <w:lvl w:ilvl="2" w:tplc="2E165D7C">
      <w:start w:val="1"/>
      <w:numFmt w:val="lowerRoman"/>
      <w:lvlText w:val="%3."/>
      <w:lvlJc w:val="right"/>
      <w:pPr>
        <w:ind w:left="1800" w:hanging="180"/>
      </w:pPr>
    </w:lvl>
    <w:lvl w:ilvl="3" w:tplc="FB4AFCC8">
      <w:start w:val="1"/>
      <w:numFmt w:val="decimal"/>
      <w:lvlText w:val="%4."/>
      <w:lvlJc w:val="left"/>
      <w:pPr>
        <w:ind w:left="2520" w:hanging="360"/>
      </w:pPr>
    </w:lvl>
    <w:lvl w:ilvl="4" w:tplc="410832CA">
      <w:start w:val="1"/>
      <w:numFmt w:val="lowerLetter"/>
      <w:lvlText w:val="%5."/>
      <w:lvlJc w:val="left"/>
      <w:pPr>
        <w:ind w:left="3240" w:hanging="360"/>
      </w:pPr>
    </w:lvl>
    <w:lvl w:ilvl="5" w:tplc="FF8EB4DA">
      <w:start w:val="1"/>
      <w:numFmt w:val="lowerRoman"/>
      <w:lvlText w:val="%6."/>
      <w:lvlJc w:val="right"/>
      <w:pPr>
        <w:ind w:left="3960" w:hanging="180"/>
      </w:pPr>
    </w:lvl>
    <w:lvl w:ilvl="6" w:tplc="C43CEEA2">
      <w:start w:val="1"/>
      <w:numFmt w:val="decimal"/>
      <w:lvlText w:val="%7."/>
      <w:lvlJc w:val="left"/>
      <w:pPr>
        <w:ind w:left="4680" w:hanging="360"/>
      </w:pPr>
    </w:lvl>
    <w:lvl w:ilvl="7" w:tplc="6E762368">
      <w:start w:val="1"/>
      <w:numFmt w:val="lowerLetter"/>
      <w:lvlText w:val="%8."/>
      <w:lvlJc w:val="left"/>
      <w:pPr>
        <w:ind w:left="5400" w:hanging="360"/>
      </w:pPr>
    </w:lvl>
    <w:lvl w:ilvl="8" w:tplc="A73674C4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016BD5"/>
    <w:multiLevelType w:val="hybridMultilevel"/>
    <w:tmpl w:val="73F2973A"/>
    <w:lvl w:ilvl="0" w:tplc="211218B8">
      <w:start w:val="1"/>
      <w:numFmt w:val="decimal"/>
      <w:lvlText w:val="%1."/>
      <w:lvlJc w:val="left"/>
      <w:pPr>
        <w:ind w:left="360" w:hanging="360"/>
      </w:pPr>
    </w:lvl>
    <w:lvl w:ilvl="1" w:tplc="C9542BEC">
      <w:start w:val="1"/>
      <w:numFmt w:val="lowerLetter"/>
      <w:lvlText w:val="%2."/>
      <w:lvlJc w:val="left"/>
      <w:pPr>
        <w:ind w:left="1080" w:hanging="360"/>
      </w:pPr>
    </w:lvl>
    <w:lvl w:ilvl="2" w:tplc="619C3606">
      <w:start w:val="1"/>
      <w:numFmt w:val="lowerRoman"/>
      <w:lvlText w:val="%3."/>
      <w:lvlJc w:val="right"/>
      <w:pPr>
        <w:ind w:left="1800" w:hanging="180"/>
      </w:pPr>
    </w:lvl>
    <w:lvl w:ilvl="3" w:tplc="06842E6A">
      <w:start w:val="1"/>
      <w:numFmt w:val="decimal"/>
      <w:lvlText w:val="%4."/>
      <w:lvlJc w:val="left"/>
      <w:pPr>
        <w:ind w:left="2520" w:hanging="360"/>
      </w:pPr>
    </w:lvl>
    <w:lvl w:ilvl="4" w:tplc="288E1FB0">
      <w:start w:val="1"/>
      <w:numFmt w:val="lowerLetter"/>
      <w:lvlText w:val="%5."/>
      <w:lvlJc w:val="left"/>
      <w:pPr>
        <w:ind w:left="3240" w:hanging="360"/>
      </w:pPr>
    </w:lvl>
    <w:lvl w:ilvl="5" w:tplc="F48E8212">
      <w:start w:val="1"/>
      <w:numFmt w:val="lowerRoman"/>
      <w:lvlText w:val="%6."/>
      <w:lvlJc w:val="right"/>
      <w:pPr>
        <w:ind w:left="3960" w:hanging="180"/>
      </w:pPr>
    </w:lvl>
    <w:lvl w:ilvl="6" w:tplc="6E84618C">
      <w:start w:val="1"/>
      <w:numFmt w:val="decimal"/>
      <w:lvlText w:val="%7."/>
      <w:lvlJc w:val="left"/>
      <w:pPr>
        <w:ind w:left="4680" w:hanging="360"/>
      </w:pPr>
    </w:lvl>
    <w:lvl w:ilvl="7" w:tplc="D0666B24">
      <w:start w:val="1"/>
      <w:numFmt w:val="lowerLetter"/>
      <w:lvlText w:val="%8."/>
      <w:lvlJc w:val="left"/>
      <w:pPr>
        <w:ind w:left="5400" w:hanging="360"/>
      </w:pPr>
    </w:lvl>
    <w:lvl w:ilvl="8" w:tplc="B3EA8D0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C9"/>
    <w:rsid w:val="00006124"/>
    <w:rsid w:val="00074C6C"/>
    <w:rsid w:val="000756E8"/>
    <w:rsid w:val="0008691A"/>
    <w:rsid w:val="000A1C44"/>
    <w:rsid w:val="000B60E1"/>
    <w:rsid w:val="001440AB"/>
    <w:rsid w:val="00150919"/>
    <w:rsid w:val="00181D76"/>
    <w:rsid w:val="001E5FA4"/>
    <w:rsid w:val="001F7A01"/>
    <w:rsid w:val="00201A27"/>
    <w:rsid w:val="00245AA4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5134"/>
    <w:rsid w:val="00572A14"/>
    <w:rsid w:val="00574CAF"/>
    <w:rsid w:val="005A49A0"/>
    <w:rsid w:val="005E7EA1"/>
    <w:rsid w:val="006119F4"/>
    <w:rsid w:val="00630907"/>
    <w:rsid w:val="00652748"/>
    <w:rsid w:val="006B5A0C"/>
    <w:rsid w:val="00710088"/>
    <w:rsid w:val="0071682A"/>
    <w:rsid w:val="00742876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B12B3B"/>
    <w:rsid w:val="00B15FE9"/>
    <w:rsid w:val="00B3019C"/>
    <w:rsid w:val="00B56142"/>
    <w:rsid w:val="00B63C26"/>
    <w:rsid w:val="00B6634D"/>
    <w:rsid w:val="00BC2E73"/>
    <w:rsid w:val="00BD13C5"/>
    <w:rsid w:val="00BD7B45"/>
    <w:rsid w:val="00BE39EC"/>
    <w:rsid w:val="00BF6E12"/>
    <w:rsid w:val="00C052F3"/>
    <w:rsid w:val="00C11CA4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F04730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4C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C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4CAF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4CAF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574C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nintext">
    <w:name w:val="vniřnítext"/>
    <w:basedOn w:val="Normln"/>
    <w:rsid w:val="00574CAF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para">
    <w:name w:val="para"/>
    <w:basedOn w:val="Normln"/>
    <w:rsid w:val="00574CAF"/>
    <w:pPr>
      <w:tabs>
        <w:tab w:val="left" w:pos="709"/>
      </w:tabs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4C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C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4CAF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4CAF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574C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nintext">
    <w:name w:val="vniřnítext"/>
    <w:basedOn w:val="Normln"/>
    <w:rsid w:val="00574CAF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para">
    <w:name w:val="para"/>
    <w:basedOn w:val="Normln"/>
    <w:rsid w:val="00574CAF"/>
    <w:pPr>
      <w:tabs>
        <w:tab w:val="left" w:pos="709"/>
      </w:tabs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1766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Obec Lipno</cp:lastModifiedBy>
  <cp:revision>2</cp:revision>
  <dcterms:created xsi:type="dcterms:W3CDTF">2019-11-07T10:32:00Z</dcterms:created>
  <dcterms:modified xsi:type="dcterms:W3CDTF">2019-11-07T10:32:00Z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U/LN/2013/10237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UZSVM/ULN/4101/2013-ULNM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Návrh VŘ - 8/2 Lipenec - 2. kolo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Helšusová Renata</vt:lpwstr>
  </property>
  <property fmtid="{D5CDD505-2E9C-101B-9397-08002B2CF9AE}" pid="41" name="CUSTOM.VLASTNIK_JMENO_TISK">
    <vt:lpwstr/>
  </property>
  <property fmtid="{D5CDD505-2E9C-101B-9397-08002B2CF9AE}" pid="42" name="CUSTOM.VLASTNIK_MAIL">
    <vt:lpwstr>Renata.Helsusova@uzsvm.cz</vt:lpwstr>
  </property>
  <property fmtid="{D5CDD505-2E9C-101B-9397-08002B2CF9AE}" pid="43" name="CUSTOM.VLASTNIK_TELEFON">
    <vt:lpwstr>+420 415 623 223</vt:lpwstr>
  </property>
  <property fmtid="{D5CDD505-2E9C-101B-9397-08002B2CF9AE}" pid="44" name="CUSTOM.VYTVOREN_DNE">
    <vt:lpwstr>23.10.2019</vt:lpwstr>
  </property>
  <property fmtid="{D5CDD505-2E9C-101B-9397-08002B2CF9AE}" pid="45" name="KOD.KOD_CJ">
    <vt:lpwstr>UZSVM/ULN/4148/2019-ULNM</vt:lpwstr>
  </property>
  <property fmtid="{D5CDD505-2E9C-101B-9397-08002B2CF9AE}" pid="46" name="KOD.KOD_EVC">
    <vt:lpwstr>4990/ULN/2019-ULNM</vt:lpwstr>
  </property>
  <property fmtid="{D5CDD505-2E9C-101B-9397-08002B2CF9AE}" pid="47" name="KOD.KOD_EVC_BARCODE">
    <vt:lpwstr>µ#4990/ULN/2019-ULNM@X¸</vt:lpwstr>
  </property>
  <property fmtid="{D5CDD505-2E9C-101B-9397-08002B2CF9AE}" pid="48" name="KOD.KOD_IU_CODE">
    <vt:lpwstr>4105</vt:lpwstr>
  </property>
  <property fmtid="{D5CDD505-2E9C-101B-9397-08002B2CF9AE}" pid="49" name="KOD.KOD_IU_SHORT">
    <vt:lpwstr>ULNM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473072ef-7c09-4e82-8420-4ee1f1c44312</vt:lpwstr>
  </property>
  <property fmtid="{D5CDD505-2E9C-101B-9397-08002B2CF9AE}" pid="52" name="KrbDmsIdForm">
    <vt:lpwstr>473072ef-7c09-4e82-8420-4ee1f1c44312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